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4A7E" w:rsidRDefault="005D2211" w14:paraId="30503DA1" w14:textId="7CB3B623">
      <w:pPr>
        <w:pStyle w:val="Heading"/>
        <w:spacing w:before="0"/>
        <w:rPr>
          <w:rStyle w:val="Style1"/>
          <w:color w:val="0070C0"/>
          <w:sz w:val="28"/>
          <w:szCs w:val="28"/>
        </w:rPr>
      </w:pPr>
      <w:r w:rsidRPr="17A4F889" w:rsidR="002762CA">
        <w:rPr>
          <w:rStyle w:val="Style1"/>
          <w:color w:val="0070C0"/>
          <w:sz w:val="28"/>
          <w:szCs w:val="28"/>
        </w:rPr>
        <w:t xml:space="preserve">Faculty Evaluation Committee </w:t>
      </w:r>
    </w:p>
    <w:p w:rsidR="007F4A7E" w:rsidRDefault="007F4A7E" w14:paraId="2074244E" w14:textId="77777777">
      <w:pPr>
        <w:pStyle w:val="Heading"/>
        <w:spacing w:before="0"/>
        <w:rPr>
          <w:rStyle w:val="Style1"/>
          <w:color w:val="0070C0"/>
          <w:sz w:val="28"/>
          <w:szCs w:val="28"/>
        </w:rPr>
      </w:pPr>
    </w:p>
    <w:p w:rsidR="006669AE" w:rsidRDefault="001322FC" w14:paraId="5B5AA734" w14:textId="2A0ABB87">
      <w:pPr>
        <w:pStyle w:val="Heading"/>
        <w:spacing w:before="0"/>
      </w:pPr>
      <w:r>
        <w:rPr>
          <w:rStyle w:val="Style1"/>
          <w:color w:val="0070C0"/>
          <w:sz w:val="28"/>
          <w:szCs w:val="28"/>
        </w:rPr>
        <w:t>Terms of Reference</w:t>
      </w:r>
    </w:p>
    <w:p w:rsidR="006669AE" w:rsidRDefault="006669AE" w14:paraId="5B5AA735" w14:textId="77777777">
      <w:pPr>
        <w:pStyle w:val="Heading"/>
        <w:spacing w:before="0"/>
      </w:pPr>
    </w:p>
    <w:p w:rsidR="006669AE" w:rsidRDefault="006669AE" w14:paraId="5B5AA736" w14:textId="77777777">
      <w:pPr>
        <w:pStyle w:val="Heading"/>
        <w:spacing w:before="0"/>
      </w:pPr>
    </w:p>
    <w:tbl>
      <w:tblPr>
        <w:tblW w:w="90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2955"/>
        <w:gridCol w:w="353"/>
        <w:gridCol w:w="4728"/>
      </w:tblGrid>
      <w:tr w:rsidRPr="00CA3571" w:rsidR="006669AE" w:rsidTr="267C0B90" w14:paraId="5B5AA73A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37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Section</w:t>
            </w:r>
          </w:p>
        </w:tc>
        <w:tc>
          <w:tcPr>
            <w:tcW w:w="3308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38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Title</w:t>
            </w:r>
          </w:p>
        </w:tc>
        <w:tc>
          <w:tcPr>
            <w:tcW w:w="47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39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Content</w:t>
            </w:r>
          </w:p>
        </w:tc>
      </w:tr>
      <w:tr w:rsidRPr="00CA3571" w:rsidR="00CA3571" w:rsidTr="267C0B90" w14:paraId="5B5AA73D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3B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1</w:t>
            </w:r>
          </w:p>
        </w:tc>
        <w:tc>
          <w:tcPr>
            <w:tcW w:w="8036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3C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Purpose</w:t>
            </w:r>
          </w:p>
        </w:tc>
      </w:tr>
      <w:tr w:rsidRPr="00CA3571" w:rsidR="00CA3571" w:rsidTr="267C0B90" w14:paraId="5B5AA741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3E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1.1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3F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Scope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442" w:rsidP="552C440E" w:rsidRDefault="005802BE" w14:paraId="7405B1A1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5802BE">
              <w:rPr>
                <w:rFonts w:ascii="Calibri" w:hAnsi="Calibri" w:eastAsia="Calibri" w:cs="Calibri"/>
                <w:sz w:val="24"/>
                <w:szCs w:val="24"/>
              </w:rPr>
              <w:t>To ensure</w:t>
            </w:r>
            <w:r w:rsidRPr="552C440E" w:rsidR="00B4067F">
              <w:rPr>
                <w:rFonts w:ascii="Calibri" w:hAnsi="Calibri" w:eastAsia="Calibri" w:cs="Calibri"/>
                <w:sz w:val="24"/>
                <w:szCs w:val="24"/>
              </w:rPr>
              <w:t xml:space="preserve"> that only the very highest quality applications for the post of Senior Lecturer I (Teaching) </w:t>
            </w:r>
            <w:r w:rsidRPr="552C440E" w:rsidR="00B4067F">
              <w:rPr>
                <w:rFonts w:ascii="Calibri" w:hAnsi="Calibri" w:eastAsia="Calibri" w:cs="Calibri"/>
                <w:sz w:val="24"/>
                <w:szCs w:val="24"/>
              </w:rPr>
              <w:t>proceed</w:t>
            </w:r>
            <w:r w:rsidRPr="552C440E" w:rsidR="00B4067F">
              <w:rPr>
                <w:rFonts w:ascii="Calibri" w:hAnsi="Calibri" w:eastAsia="Calibri" w:cs="Calibri"/>
                <w:sz w:val="24"/>
                <w:szCs w:val="24"/>
              </w:rPr>
              <w:t xml:space="preserve"> to Stage</w:t>
            </w:r>
            <w:r w:rsidRPr="552C440E" w:rsidR="00942F71">
              <w:rPr>
                <w:rFonts w:ascii="Calibri" w:hAnsi="Calibri" w:eastAsia="Calibri" w:cs="Calibri"/>
                <w:sz w:val="24"/>
                <w:szCs w:val="24"/>
              </w:rPr>
              <w:t xml:space="preserve"> 2 of the promotions process.</w:t>
            </w:r>
          </w:p>
          <w:p w:rsidRPr="00CA3571" w:rsidR="00942F71" w:rsidP="552C440E" w:rsidRDefault="00942F71" w14:paraId="5B5AA740" w14:textId="340A8A44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CA3571" w:rsidR="00CA3571" w:rsidTr="267C0B90" w14:paraId="5B5AA745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42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1.2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43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Status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,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Establishment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Dissolution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9AE" w:rsidP="552C440E" w:rsidRDefault="005D6442" w14:paraId="1FADA336" w14:textId="2D4CC672">
            <w:pPr>
              <w:pStyle w:val="BodyText"/>
              <w:spacing w:line="240" w:lineRule="auto"/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  <w:lang w:val="en-IE"/>
              </w:rPr>
            </w:pPr>
            <w:r w:rsidRPr="552C440E" w:rsidR="005D6442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  <w:lang w:val="en-IE"/>
              </w:rPr>
              <w:t xml:space="preserve">The </w:t>
            </w:r>
            <w:r w:rsidRPr="552C440E" w:rsidR="00942F71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  <w:lang w:val="en-IE"/>
              </w:rPr>
              <w:t>F</w:t>
            </w:r>
            <w:r w:rsidRPr="552C440E" w:rsidR="00942F71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  <w:lang w:val="en-IE"/>
              </w:rPr>
              <w:t xml:space="preserve">aculty Evaluation Committee has </w:t>
            </w:r>
            <w:r w:rsidRPr="552C440E" w:rsidR="005D6442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  <w:lang w:val="en-IE"/>
              </w:rPr>
              <w:t xml:space="preserve">been </w:t>
            </w:r>
            <w:r w:rsidRPr="552C440E" w:rsidR="005D6442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  <w:lang w:val="en-IE"/>
              </w:rPr>
              <w:t>established</w:t>
            </w:r>
            <w:r w:rsidRPr="552C440E" w:rsidR="005D6442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  <w:lang w:val="en-IE"/>
              </w:rPr>
              <w:t xml:space="preserve"> </w:t>
            </w:r>
            <w:r w:rsidRPr="552C440E" w:rsidR="00C87FE2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  <w:lang w:val="en-IE"/>
              </w:rPr>
              <w:t xml:space="preserve">by the University Executive Team and </w:t>
            </w:r>
            <w:r w:rsidRPr="552C440E" w:rsidR="00CA3571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  <w:lang w:val="en-IE"/>
              </w:rPr>
              <w:t>will be dissolved at the instruction of the President</w:t>
            </w:r>
            <w:r w:rsidRPr="552C440E" w:rsidR="00CA3571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  <w:lang w:val="en-IE"/>
              </w:rPr>
              <w:t xml:space="preserve">.  </w:t>
            </w:r>
          </w:p>
          <w:p w:rsidRPr="00CA3571" w:rsidR="00CA3571" w:rsidP="552C440E" w:rsidRDefault="00CA3571" w14:paraId="5B5AA744" w14:textId="791374E3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CA3571" w:rsidR="00CA3571" w:rsidTr="267C0B90" w14:paraId="5B5AA749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46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1.3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47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Authority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83" w:rsidP="552C440E" w:rsidRDefault="00BF42A4" w14:paraId="0402E202" w14:textId="7F0A52AA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BF42A4">
              <w:rPr>
                <w:rFonts w:ascii="Calibri" w:hAnsi="Calibri" w:eastAsia="Calibri" w:cs="Calibri"/>
                <w:sz w:val="24"/>
                <w:szCs w:val="24"/>
              </w:rPr>
              <w:t>The Faculty Evaluation Committee</w:t>
            </w:r>
            <w:r w:rsidRPr="552C440E" w:rsidR="000F3E98">
              <w:rPr>
                <w:rFonts w:ascii="Calibri" w:hAnsi="Calibri" w:eastAsia="Calibri" w:cs="Calibri"/>
                <w:sz w:val="24"/>
                <w:szCs w:val="24"/>
              </w:rPr>
              <w:t xml:space="preserve"> has </w:t>
            </w:r>
            <w:r w:rsidRPr="552C440E" w:rsidR="00156F1D">
              <w:rPr>
                <w:rFonts w:ascii="Calibri" w:hAnsi="Calibri" w:eastAsia="Calibri" w:cs="Calibri"/>
                <w:sz w:val="24"/>
                <w:szCs w:val="24"/>
              </w:rPr>
              <w:t>delegated authority by the University Executive Team (UET) to m</w:t>
            </w:r>
            <w:r w:rsidRPr="552C440E" w:rsidR="00682D83">
              <w:rPr>
                <w:rFonts w:ascii="Calibri" w:hAnsi="Calibri" w:eastAsia="Calibri" w:cs="Calibri"/>
                <w:sz w:val="24"/>
                <w:szCs w:val="24"/>
              </w:rPr>
              <w:t>ake recommendations to the University Promotions Committee in the context of these Terms of Reference.</w:t>
            </w:r>
          </w:p>
          <w:p w:rsidRPr="00CA3571" w:rsidR="00156F1D" w:rsidP="552C440E" w:rsidRDefault="00156F1D" w14:paraId="5B5AA748" w14:textId="32653C74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CA3571" w:rsidR="00CA3571" w:rsidTr="267C0B90" w14:paraId="5B5AA74C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4A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2</w:t>
            </w:r>
          </w:p>
        </w:tc>
        <w:tc>
          <w:tcPr>
            <w:tcW w:w="8036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4B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Membership</w:t>
            </w:r>
          </w:p>
        </w:tc>
      </w:tr>
      <w:tr w:rsidRPr="00CA3571" w:rsidR="00CA3571" w:rsidTr="267C0B90" w14:paraId="5B5AA750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4D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2.1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4E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Membership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76A5C" w:rsidR="006669AE" w:rsidP="552C440E" w:rsidRDefault="00682D83" w14:paraId="64468435" w14:textId="242E1F21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682D83">
              <w:rPr>
                <w:rFonts w:ascii="Calibri" w:hAnsi="Calibri" w:eastAsia="Calibri" w:cs="Calibri"/>
                <w:sz w:val="24"/>
                <w:szCs w:val="24"/>
              </w:rPr>
              <w:t xml:space="preserve">Dean </w:t>
            </w:r>
            <w:r w:rsidRPr="552C440E" w:rsidR="00547C27">
              <w:rPr>
                <w:rFonts w:ascii="Calibri" w:hAnsi="Calibri" w:eastAsia="Calibri" w:cs="Calibri"/>
                <w:sz w:val="24"/>
                <w:szCs w:val="24"/>
              </w:rPr>
              <w:t>[Chairperson]</w:t>
            </w:r>
          </w:p>
          <w:p w:rsidR="007C7CB3" w:rsidP="552C440E" w:rsidRDefault="00682D83" w14:paraId="6D3C968F" w14:textId="25BBE32C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682D83">
              <w:rPr>
                <w:rFonts w:ascii="Calibri" w:hAnsi="Calibri" w:eastAsia="Calibri" w:cs="Calibri"/>
                <w:sz w:val="24"/>
                <w:szCs w:val="24"/>
              </w:rPr>
              <w:t xml:space="preserve">Heads of School from </w:t>
            </w:r>
            <w:r w:rsidRPr="552C440E" w:rsidR="332CDCDF">
              <w:rPr>
                <w:rFonts w:ascii="Calibri" w:hAnsi="Calibri" w:eastAsia="Calibri" w:cs="Calibri"/>
                <w:sz w:val="24"/>
                <w:szCs w:val="24"/>
              </w:rPr>
              <w:t>the relevant</w:t>
            </w:r>
            <w:r w:rsidRPr="552C440E" w:rsidR="00682D83">
              <w:rPr>
                <w:rFonts w:ascii="Calibri" w:hAnsi="Calibri" w:eastAsia="Calibri" w:cs="Calibri"/>
                <w:sz w:val="24"/>
                <w:szCs w:val="24"/>
              </w:rPr>
              <w:t xml:space="preserve"> Faculty</w:t>
            </w:r>
          </w:p>
          <w:p w:rsidR="00682D83" w:rsidP="552C440E" w:rsidRDefault="00682D83" w14:paraId="75CF204F" w14:textId="6A32239C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682D83">
              <w:rPr>
                <w:rFonts w:ascii="Calibri" w:hAnsi="Calibri" w:eastAsia="Calibri" w:cs="Calibri"/>
                <w:sz w:val="24"/>
                <w:szCs w:val="24"/>
              </w:rPr>
              <w:t>Dean/SLIII from another Faculty</w:t>
            </w:r>
          </w:p>
          <w:p w:rsidR="00682D83" w:rsidP="552C440E" w:rsidRDefault="009962BF" w14:paraId="5D197DBB" w14:textId="5AE46576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9962BF">
              <w:rPr>
                <w:rFonts w:ascii="Calibri" w:hAnsi="Calibri" w:eastAsia="Calibri" w:cs="Calibri"/>
                <w:sz w:val="24"/>
                <w:szCs w:val="24"/>
              </w:rPr>
              <w:t>External Senior Academic</w:t>
            </w:r>
          </w:p>
          <w:p w:rsidR="009962BF" w:rsidP="552C440E" w:rsidRDefault="009962BF" w14:paraId="3B9112DF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A76A5C" w:rsidR="007C7CB3" w:rsidP="552C440E" w:rsidRDefault="009962BF" w14:paraId="2D9427E1" w14:textId="7193ACD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</w:pPr>
            <w:r w:rsidRPr="384A5009" w:rsidR="009962BF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 xml:space="preserve">Gender balance will be achieved </w:t>
            </w:r>
            <w:r w:rsidRPr="384A5009" w:rsidR="009962BF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>insofar as</w:t>
            </w:r>
            <w:r w:rsidRPr="384A5009" w:rsidR="009962BF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 xml:space="preserve"> is possible through the </w:t>
            </w:r>
            <w:r w:rsidRPr="384A5009" w:rsidR="00E364AB"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  <w:t>Dean/SLIII from another Faculty and External Senior Academic</w:t>
            </w:r>
          </w:p>
          <w:p w:rsidR="384A5009" w:rsidP="384A5009" w:rsidRDefault="384A5009" w14:paraId="56226DE0" w14:textId="617B20A5">
            <w:pPr>
              <w:pStyle w:val="BodyText"/>
              <w:spacing w:line="24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</w:p>
          <w:p w:rsidR="5428D0C0" w:rsidP="384A5009" w:rsidRDefault="5428D0C0" w14:paraId="5EC64BD0" w14:textId="0860881C">
            <w:pPr>
              <w:pStyle w:val="BodyText"/>
              <w:spacing w:line="240" w:lineRule="auto"/>
              <w:rPr>
                <w:rFonts w:ascii="Calibri" w:hAnsi="Calibri" w:eastAsia="Calibri" w:cs="Calibri"/>
                <w:noProof w:val="0"/>
                <w:lang w:val="en-IE"/>
              </w:rPr>
            </w:pPr>
            <w:r w:rsidRPr="384A5009" w:rsidR="5428D0C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In the event that</w:t>
            </w:r>
            <w:r w:rsidRPr="384A5009" w:rsidR="5428D0C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an existing Head of School applies for a Senior Lecturer I (Teaching) post, they will not </w:t>
            </w:r>
            <w:r w:rsidRPr="384A5009" w:rsidR="5428D0C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>participate</w:t>
            </w:r>
            <w:r w:rsidRPr="384A5009" w:rsidR="5428D0C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IE"/>
              </w:rPr>
              <w:t xml:space="preserve"> on the Committee</w:t>
            </w:r>
            <w:r w:rsidRPr="384A5009" w:rsidR="5428D0C0">
              <w:rPr>
                <w:rFonts w:ascii="Calibri" w:hAnsi="Calibri" w:eastAsia="Calibri" w:cs="Calibri"/>
                <w:noProof w:val="0"/>
                <w:lang w:val="en-IE"/>
              </w:rPr>
              <w:t xml:space="preserve"> </w:t>
            </w:r>
          </w:p>
          <w:p w:rsidRPr="00A76A5C" w:rsidR="00F85FB7" w:rsidP="552C440E" w:rsidRDefault="00F85FB7" w14:paraId="5B5AA74F" w14:textId="22FAF546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CA3571" w:rsidR="00CA3571" w:rsidTr="267C0B90" w14:paraId="5B5AA754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51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2.2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52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Appointment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EFF" w:rsidP="552C440E" w:rsidRDefault="005D7EFF" w14:paraId="742FA262" w14:textId="7E30423B" w14:noSpellErr="1">
            <w:pPr>
              <w:pStyle w:val="BodyText"/>
              <w:spacing w:line="240" w:lineRule="auto"/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Members</w:t>
            </w: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are</w:t>
            </w: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nominations</w:t>
            </w: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of</w:t>
            </w: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the</w:t>
            </w: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5D7E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President</w:t>
            </w:r>
            <w:r w:rsidRPr="552C440E" w:rsidR="00A153B7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A153B7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and</w:t>
            </w:r>
            <w:r w:rsidRPr="552C440E" w:rsidR="00A153B7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/</w:t>
            </w:r>
            <w:r w:rsidRPr="552C440E" w:rsidR="00A153B7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or</w:t>
            </w:r>
            <w:r w:rsidRPr="552C440E" w:rsidR="00A153B7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Dean</w:t>
            </w:r>
          </w:p>
          <w:p w:rsidRPr="00CA3571" w:rsidR="00A153B7" w:rsidP="552C440E" w:rsidRDefault="00A153B7" w14:paraId="5B5AA753" w14:textId="0398F774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CA3571" w:rsidR="00CA3571" w:rsidTr="267C0B90" w14:paraId="5B5AA758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55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2.3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56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Chairperson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F11FB" w:rsidR="00386CA9" w:rsidP="552C440E" w:rsidRDefault="00A153B7" w14:paraId="5B5AA757" w14:textId="018E2AD6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A153B7">
              <w:rPr>
                <w:rFonts w:ascii="Calibri" w:hAnsi="Calibri" w:eastAsia="Calibri" w:cs="Calibri"/>
                <w:sz w:val="24"/>
                <w:szCs w:val="24"/>
              </w:rPr>
              <w:t>Dean</w:t>
            </w:r>
          </w:p>
        </w:tc>
      </w:tr>
      <w:tr w:rsidRPr="00CA3571" w:rsidR="00CA3571" w:rsidTr="267C0B90" w14:paraId="5B5AA75C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59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2.3.1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5A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Appointment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of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the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Chairperson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36BF" w:rsidR="006669AE" w:rsidP="552C440E" w:rsidRDefault="006036BF" w14:paraId="5B5AA75B" w14:textId="649F884C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6036B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Directly</w:t>
            </w:r>
            <w:r w:rsidRPr="552C440E" w:rsidR="006036B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6036B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appointed</w:t>
            </w:r>
            <w:r w:rsidRPr="552C440E" w:rsidR="00CF11FB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CF11FB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by</w:t>
            </w:r>
            <w:r w:rsidRPr="552C440E" w:rsidR="00CF11FB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CF11FB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the</w:t>
            </w:r>
            <w:r w:rsidRPr="552C440E" w:rsidR="00CF11FB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CF11FB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President</w:t>
            </w:r>
          </w:p>
        </w:tc>
      </w:tr>
      <w:tr w:rsidRPr="00CA3571" w:rsidR="00CA3571" w:rsidTr="267C0B90" w14:paraId="5B5AA760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5D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2.3.2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5E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Duties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of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the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Chairperson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175" w:rsidP="552C440E" w:rsidRDefault="008C1175" w14:paraId="0C7592F1" w14:textId="77777777" w14:noSpellErr="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1.1 Plan and Chair the Evaluation Session. </w:t>
            </w:r>
          </w:p>
          <w:p w:rsidR="008C1175" w:rsidP="552C440E" w:rsidRDefault="008C1175" w14:paraId="1592DDCD" w14:textId="56F4A8C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1.2 Host 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a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pre Evaluation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Session briefing to seek assurance from the members that:</w:t>
            </w:r>
          </w:p>
          <w:p w:rsidR="008C1175" w:rsidP="552C440E" w:rsidRDefault="008C1175" w14:paraId="3E53C86E" w14:textId="59F6070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- there is no Conflict of 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Interest;</w:t>
            </w:r>
          </w:p>
          <w:p w:rsidR="008C1175" w:rsidP="552C440E" w:rsidRDefault="008C1175" w14:paraId="2F3CFE53" w14:textId="77777777" w14:noSpellErr="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- they have read and understand the Equality, 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Diversity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and Inclusion 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policy;</w:t>
            </w:r>
          </w:p>
          <w:p w:rsidR="008C1175" w:rsidP="552C440E" w:rsidRDefault="008C1175" w14:paraId="51F5923D" w14:textId="28FE1EC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- they have</w:t>
            </w:r>
            <w:r w:rsidRPr="552C440E" w:rsidR="74B8FAE0">
              <w:rPr>
                <w:rFonts w:ascii="Calibri" w:hAnsi="Calibri" w:eastAsia="Calibri" w:cs="Calibri"/>
                <w:sz w:val="24"/>
                <w:szCs w:val="24"/>
              </w:rPr>
              <w:t xml:space="preserve"> reviewed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52C440E" w:rsidR="2EB3316F">
              <w:rPr>
                <w:rFonts w:ascii="Calibri" w:hAnsi="Calibri" w:eastAsia="Calibri" w:cs="Calibri"/>
                <w:sz w:val="24"/>
                <w:szCs w:val="24"/>
              </w:rPr>
              <w:t>the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application form from each 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applicant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;</w:t>
            </w:r>
          </w:p>
          <w:p w:rsidR="008C1175" w:rsidP="552C440E" w:rsidRDefault="008C1175" w14:paraId="54F81111" w14:textId="2A812FF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 xml:space="preserve">- they understand their role in evaluating </w:t>
            </w:r>
            <w:r w:rsidRPr="5725573F" w:rsidR="38D28E1A">
              <w:rPr>
                <w:rFonts w:ascii="Calibri" w:hAnsi="Calibri" w:eastAsia="Calibri" w:cs="Calibri"/>
                <w:sz w:val="24"/>
                <w:szCs w:val="24"/>
              </w:rPr>
              <w:t>the application form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and providing feedback to the 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>applicant;</w:t>
            </w:r>
          </w:p>
          <w:p w:rsidR="008C1175" w:rsidP="552C440E" w:rsidRDefault="008C1175" w14:paraId="4BB38A06" w14:textId="2A96008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 xml:space="preserve">- that they understand that each application will be evaluated 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>on the basis of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evidence presented</w:t>
            </w:r>
            <w:r w:rsidRPr="5725573F" w:rsidR="0602C59D">
              <w:rPr>
                <w:rFonts w:ascii="Calibri" w:hAnsi="Calibri" w:eastAsia="Calibri" w:cs="Calibri"/>
                <w:sz w:val="24"/>
                <w:szCs w:val="24"/>
              </w:rPr>
              <w:t xml:space="preserve"> in the application form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under each of the three domains:</w:t>
            </w:r>
          </w:p>
          <w:p w:rsidR="008C1175" w:rsidP="552C440E" w:rsidRDefault="008C1175" w14:paraId="41C2E1A5" w14:textId="77777777" w14:noSpellErr="1">
            <w:pPr>
              <w:spacing w:after="0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Teaching, Learning and Assessment</w:t>
            </w:r>
          </w:p>
          <w:p w:rsidR="008C1175" w:rsidP="552C440E" w:rsidRDefault="008C1175" w14:paraId="6C574C22" w14:textId="77777777" w14:noSpellErr="1">
            <w:pPr>
              <w:spacing w:after="0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Research, Practice and Innovation</w:t>
            </w:r>
          </w:p>
          <w:p w:rsidR="008C1175" w:rsidP="552C440E" w:rsidRDefault="008C1175" w14:paraId="6C10A258" w14:textId="77777777" w14:noSpellErr="1">
            <w:pPr>
              <w:spacing w:after="0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Citizenship, Engagement &amp; Service</w:t>
            </w:r>
          </w:p>
          <w:p w:rsidR="008C1175" w:rsidP="552C440E" w:rsidRDefault="008C1175" w14:paraId="5530FCAF" w14:textId="77777777" w14:noSpellErr="1">
            <w:pPr>
              <w:spacing w:after="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8C1175" w:rsidP="552C440E" w:rsidRDefault="008C1175" w14:paraId="535AA302" w14:textId="77777777" w14:noSpellErr="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- that they understand the requirement and purpose and method of note taking during the evaluation process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.  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Note taking is a critical requirement and should be legible and restricted to an evaluation of the evidence provided; notes taken by each member should be sufficiently comprehensive for them to rely on before the Faculty Evaluation Committee collectively decides a final mark for each 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domain;</w:t>
            </w:r>
          </w:p>
          <w:p w:rsidR="008C1175" w:rsidP="552C440E" w:rsidRDefault="008C1175" w14:paraId="572C70F9" w14:textId="77777777" w14:noSpellErr="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- that they understand that an assessment will be made when all applications have been 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reviewed;</w:t>
            </w:r>
          </w:p>
          <w:p w:rsidR="008C1175" w:rsidP="552C440E" w:rsidRDefault="008C1175" w14:paraId="5EF6D3DA" w14:textId="15F113E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267C0B90" w:rsidR="008C1175">
              <w:rPr>
                <w:rFonts w:ascii="Calibri" w:hAnsi="Calibri" w:eastAsia="Calibri" w:cs="Calibri"/>
                <w:sz w:val="24"/>
                <w:szCs w:val="24"/>
              </w:rPr>
              <w:t>1.3 Complete an Evaluation Assessment and Feedback Form for each applicant</w:t>
            </w:r>
            <w:r w:rsidRPr="267C0B90" w:rsidR="70FF8EE6">
              <w:rPr>
                <w:rFonts w:ascii="Calibri" w:hAnsi="Calibri" w:eastAsia="Calibri" w:cs="Calibri"/>
                <w:sz w:val="24"/>
                <w:szCs w:val="24"/>
              </w:rPr>
              <w:t xml:space="preserve"> together with the relevant Score Form;</w:t>
            </w:r>
          </w:p>
          <w:p w:rsidR="008C1175" w:rsidP="552C440E" w:rsidRDefault="008C1175" w14:paraId="3E2A3267" w14:textId="6EA03B0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CA0C5F6" w:rsidR="008C1175">
              <w:rPr>
                <w:rFonts w:ascii="Calibri" w:hAnsi="Calibri" w:eastAsia="Calibri" w:cs="Calibri"/>
                <w:sz w:val="24"/>
                <w:szCs w:val="24"/>
              </w:rPr>
              <w:t>1.4 Complete a</w:t>
            </w:r>
            <w:r w:rsidRPr="6CA0C5F6" w:rsidR="5D04433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6CA0C5F6" w:rsidR="7D9827ED">
              <w:rPr>
                <w:rFonts w:ascii="Calibri" w:hAnsi="Calibri" w:eastAsia="Calibri" w:cs="Calibri"/>
                <w:sz w:val="24"/>
                <w:szCs w:val="24"/>
              </w:rPr>
              <w:t>Recommendation for Appointment</w:t>
            </w:r>
            <w:r w:rsidRPr="6CA0C5F6" w:rsidR="63916632">
              <w:rPr>
                <w:rFonts w:ascii="Calibri" w:hAnsi="Calibri" w:eastAsia="Calibri" w:cs="Calibri"/>
                <w:sz w:val="24"/>
                <w:szCs w:val="24"/>
              </w:rPr>
              <w:t xml:space="preserve"> for applications </w:t>
            </w:r>
            <w:r w:rsidRPr="6CA0C5F6" w:rsidR="63916632">
              <w:rPr>
                <w:rFonts w:ascii="Calibri" w:hAnsi="Calibri" w:eastAsia="Calibri" w:cs="Calibri"/>
                <w:sz w:val="24"/>
                <w:szCs w:val="24"/>
              </w:rPr>
              <w:t>proceeding</w:t>
            </w:r>
            <w:r w:rsidRPr="6CA0C5F6" w:rsidR="63916632">
              <w:rPr>
                <w:rFonts w:ascii="Calibri" w:hAnsi="Calibri" w:eastAsia="Calibri" w:cs="Calibri"/>
                <w:sz w:val="24"/>
                <w:szCs w:val="24"/>
              </w:rPr>
              <w:t xml:space="preserve"> to Stage 2</w:t>
            </w:r>
            <w:r w:rsidRPr="6CA0C5F6" w:rsidR="7D9827E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6CA0C5F6" w:rsidR="383521EA">
              <w:rPr>
                <w:rFonts w:ascii="Calibri" w:hAnsi="Calibri" w:eastAsia="Calibri" w:cs="Calibri"/>
                <w:sz w:val="24"/>
                <w:szCs w:val="24"/>
              </w:rPr>
              <w:t xml:space="preserve">within the allocation for the </w:t>
            </w:r>
            <w:r w:rsidRPr="6CA0C5F6" w:rsidR="383521EA">
              <w:rPr>
                <w:rFonts w:ascii="Calibri" w:hAnsi="Calibri" w:eastAsia="Calibri" w:cs="Calibri"/>
                <w:sz w:val="24"/>
                <w:szCs w:val="24"/>
              </w:rPr>
              <w:t>Faculty</w:t>
            </w:r>
            <w:r w:rsidRPr="6CA0C5F6" w:rsidR="5F600A53">
              <w:rPr>
                <w:rFonts w:ascii="Calibri" w:hAnsi="Calibri" w:eastAsia="Calibri" w:cs="Calibri"/>
                <w:sz w:val="24"/>
                <w:szCs w:val="24"/>
              </w:rPr>
              <w:t>.  This</w:t>
            </w:r>
            <w:r w:rsidRPr="6CA0C5F6" w:rsidR="383521EA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6CA0C5F6" w:rsidR="383521EA">
              <w:rPr>
                <w:rFonts w:ascii="Calibri" w:hAnsi="Calibri" w:eastAsia="Calibri" w:cs="Calibri"/>
                <w:sz w:val="24"/>
                <w:szCs w:val="24"/>
              </w:rPr>
              <w:t>will be considered</w:t>
            </w:r>
            <w:r w:rsidRPr="6CA0C5F6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by the University Promotions Committee</w:t>
            </w:r>
            <w:r w:rsidRPr="6CA0C5F6" w:rsidR="008C1175">
              <w:rPr>
                <w:rFonts w:ascii="Calibri" w:hAnsi="Calibri" w:eastAsia="Calibri" w:cs="Calibri"/>
                <w:sz w:val="24"/>
                <w:szCs w:val="24"/>
              </w:rPr>
              <w:t xml:space="preserve">.  </w:t>
            </w:r>
            <w:r w:rsidRPr="6CA0C5F6" w:rsidR="008C1175">
              <w:rPr>
                <w:rFonts w:ascii="Calibri" w:hAnsi="Calibri" w:eastAsia="Calibri" w:cs="Calibri"/>
                <w:sz w:val="24"/>
                <w:szCs w:val="24"/>
              </w:rPr>
              <w:t xml:space="preserve">This could be in the form of an automated score sheet. </w:t>
            </w:r>
          </w:p>
          <w:p w:rsidR="000E4C42" w:rsidP="552C440E" w:rsidRDefault="008C1175" w14:paraId="63022B36" w14:textId="77777777" w14:noSpellErr="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1.5 Ensure that all documentation is returned to HR as soon as is 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>practicable</w:t>
            </w:r>
            <w:r w:rsidRPr="552C440E" w:rsidR="008C1175">
              <w:rPr>
                <w:rFonts w:ascii="Calibri" w:hAnsi="Calibri" w:eastAsia="Calibri" w:cs="Calibri"/>
                <w:sz w:val="24"/>
                <w:szCs w:val="24"/>
              </w:rPr>
              <w:t xml:space="preserve">, after the Evaluation Session. </w:t>
            </w:r>
          </w:p>
          <w:p w:rsidRPr="00CF11FB" w:rsidR="006036BF" w:rsidP="552C440E" w:rsidRDefault="008C1175" w14:paraId="5B5AA75F" w14:textId="07854FB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 xml:space="preserve">The Chair should 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>forward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the soft copy documentation to HR securely via HEA 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>FileSender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 xml:space="preserve">.  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 xml:space="preserve">HR will make the necessary arrangements for receiving </w:t>
            </w:r>
            <w:r w:rsidRPr="5725573F" w:rsidR="34A5EA1E">
              <w:rPr>
                <w:rFonts w:ascii="Calibri" w:hAnsi="Calibri" w:eastAsia="Calibri" w:cs="Calibri"/>
                <w:sz w:val="24"/>
                <w:szCs w:val="24"/>
              </w:rPr>
              <w:t>any</w:t>
            </w:r>
            <w:r w:rsidRPr="5725573F" w:rsidR="008C1175">
              <w:rPr>
                <w:rFonts w:ascii="Calibri" w:hAnsi="Calibri" w:eastAsia="Calibri" w:cs="Calibri"/>
                <w:sz w:val="24"/>
                <w:szCs w:val="24"/>
              </w:rPr>
              <w:t xml:space="preserve"> hard copy documentation.</w:t>
            </w:r>
          </w:p>
        </w:tc>
      </w:tr>
      <w:tr w:rsidRPr="00CA3571" w:rsidR="00CA3571" w:rsidTr="267C0B90" w14:paraId="5B5AA763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61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3</w:t>
            </w:r>
          </w:p>
        </w:tc>
        <w:tc>
          <w:tcPr>
            <w:tcW w:w="8036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62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Meetings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and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Service</w:t>
            </w:r>
          </w:p>
        </w:tc>
      </w:tr>
      <w:tr w:rsidRPr="00CA3571" w:rsidR="00CA3571" w:rsidTr="267C0B90" w14:paraId="5B5AA767" w14:textId="77777777">
        <w:trPr>
          <w:trHeight w:val="1157"/>
        </w:trPr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64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3.1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65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Frequency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15D" w:rsidP="552C440E" w:rsidRDefault="00E80E6D" w14:paraId="525B8188" w14:textId="1BFDB20B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E80E6D">
              <w:rPr>
                <w:rFonts w:ascii="Calibri" w:hAnsi="Calibri" w:eastAsia="Calibri" w:cs="Calibri"/>
                <w:sz w:val="24"/>
                <w:szCs w:val="24"/>
              </w:rPr>
              <w:t>Once per annum</w:t>
            </w:r>
            <w:r w:rsidRPr="552C440E" w:rsidR="00CF11FB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="00E80E6D" w:rsidP="552C440E" w:rsidRDefault="00E80E6D" w14:paraId="2684281F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08715D" w:rsidP="552C440E" w:rsidRDefault="00E80E6D" w14:paraId="5B0305F0" w14:textId="620719B2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725573F" w:rsidR="00E80E6D">
              <w:rPr>
                <w:rFonts w:ascii="Calibri" w:hAnsi="Calibri" w:eastAsia="Calibri" w:cs="Calibri"/>
                <w:sz w:val="24"/>
                <w:szCs w:val="24"/>
              </w:rPr>
              <w:t>Evaluation Sessions will</w:t>
            </w:r>
            <w:r w:rsidRPr="5725573F" w:rsidR="011ED881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725573F" w:rsidR="00E80E6D">
              <w:rPr>
                <w:rFonts w:ascii="Calibri" w:hAnsi="Calibri" w:eastAsia="Calibri" w:cs="Calibri"/>
                <w:sz w:val="24"/>
                <w:szCs w:val="24"/>
              </w:rPr>
              <w:t xml:space="preserve">be </w:t>
            </w:r>
            <w:r w:rsidRPr="5725573F" w:rsidR="0008715D">
              <w:rPr>
                <w:rFonts w:ascii="Calibri" w:hAnsi="Calibri" w:eastAsia="Calibri" w:cs="Calibri"/>
                <w:sz w:val="24"/>
                <w:szCs w:val="24"/>
              </w:rPr>
              <w:t xml:space="preserve">attended in person </w:t>
            </w:r>
            <w:r w:rsidRPr="5725573F" w:rsidR="00E80E6D">
              <w:rPr>
                <w:rFonts w:ascii="Calibri" w:hAnsi="Calibri" w:eastAsia="Calibri" w:cs="Calibri"/>
                <w:sz w:val="24"/>
                <w:szCs w:val="24"/>
              </w:rPr>
              <w:t>only</w:t>
            </w:r>
          </w:p>
          <w:p w:rsidRPr="00CA3571" w:rsidR="00C60E50" w:rsidP="552C440E" w:rsidRDefault="00C60E50" w14:paraId="5B5AA766" w14:textId="10F8B3FC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CA3571" w:rsidR="00CA3571" w:rsidTr="267C0B90" w14:paraId="5B5AA76B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68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3.2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69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Quorum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60E50" w:rsidR="00C60E50" w:rsidP="552C440E" w:rsidRDefault="004C76C5" w14:paraId="5B5AA76A" w14:textId="6F158D10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100</w:t>
            </w:r>
            <w:r w:rsidRPr="5725573F" w:rsidR="00C60E50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% </w:t>
            </w:r>
            <w:r w:rsidRPr="5725573F" w:rsidR="00C60E50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of</w:t>
            </w:r>
            <w:r w:rsidRPr="5725573F" w:rsidR="00C60E50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C60E50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members</w:t>
            </w:r>
            <w:r w:rsidRPr="5725573F" w:rsidR="00C60E50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unless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an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emergency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arises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in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the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immediate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period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before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the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session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and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14775D17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a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member</w:t>
            </w:r>
            <w:r w:rsidRPr="5725573F" w:rsidR="53467563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is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unable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to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725573F" w:rsidR="004C76C5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attend</w:t>
            </w:r>
          </w:p>
        </w:tc>
      </w:tr>
      <w:tr w:rsidRPr="00CA3571" w:rsidR="00CA3571" w:rsidTr="267C0B90" w14:paraId="5B5AA76F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6C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3.3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C4B08" w:rsidR="006669AE" w:rsidP="552C440E" w:rsidRDefault="001322FC" w14:paraId="5B5AA76D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Agenda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61559" w:rsidR="001C4B08" w:rsidP="552C440E" w:rsidRDefault="001F6CD9" w14:paraId="5B5AA76E" w14:textId="48E52A44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F6CD9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Non </w:t>
            </w:r>
            <w:r w:rsidRPr="552C440E" w:rsidR="00161559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a</w:t>
            </w:r>
            <w:r w:rsidRPr="552C440E" w:rsidR="001F6CD9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pplicable</w:t>
            </w:r>
          </w:p>
        </w:tc>
      </w:tr>
      <w:tr w:rsidRPr="00CA3571" w:rsidR="00CA3571" w:rsidTr="267C0B90" w14:paraId="5B5AA773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70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3.4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71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Record of Actions and Decisions 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4F3" w:rsidP="552C440E" w:rsidRDefault="001F6CD9" w14:paraId="3AD862FF" w14:textId="136E7848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267C0B90" w:rsidR="001F6CD9">
              <w:rPr>
                <w:rFonts w:ascii="Calibri" w:hAnsi="Calibri" w:eastAsia="Calibri" w:cs="Calibri"/>
                <w:sz w:val="24"/>
                <w:szCs w:val="24"/>
              </w:rPr>
              <w:t xml:space="preserve">A completed Evaluation and </w:t>
            </w:r>
            <w:r w:rsidRPr="267C0B90" w:rsidR="00311E41">
              <w:rPr>
                <w:rFonts w:ascii="Calibri" w:hAnsi="Calibri" w:eastAsia="Calibri" w:cs="Calibri"/>
                <w:sz w:val="24"/>
                <w:szCs w:val="24"/>
              </w:rPr>
              <w:t>Feedback Form for each applicant</w:t>
            </w:r>
            <w:r w:rsidRPr="267C0B90" w:rsidR="1538BBD6">
              <w:rPr>
                <w:rFonts w:ascii="Calibri" w:hAnsi="Calibri" w:eastAsia="Calibri" w:cs="Calibri"/>
                <w:sz w:val="24"/>
                <w:szCs w:val="24"/>
              </w:rPr>
              <w:t xml:space="preserve"> together with the relevant Score Form.</w:t>
            </w:r>
          </w:p>
          <w:p w:rsidR="00600BE7" w:rsidP="552C440E" w:rsidRDefault="00600BE7" w14:paraId="551EFBC2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11E41" w:rsidP="552C440E" w:rsidRDefault="00311E41" w14:paraId="342A467B" w14:textId="43C19F3D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6CA0C5F6" w:rsidR="00311E41">
              <w:rPr>
                <w:rFonts w:ascii="Calibri" w:hAnsi="Calibri" w:eastAsia="Calibri" w:cs="Calibri"/>
                <w:sz w:val="24"/>
                <w:szCs w:val="24"/>
              </w:rPr>
              <w:t>A Recommendation</w:t>
            </w:r>
            <w:r w:rsidRPr="6CA0C5F6" w:rsidR="19D52F85">
              <w:rPr>
                <w:rFonts w:ascii="Calibri" w:hAnsi="Calibri" w:eastAsia="Calibri" w:cs="Calibri"/>
                <w:sz w:val="24"/>
                <w:szCs w:val="24"/>
              </w:rPr>
              <w:t xml:space="preserve"> for Appointment</w:t>
            </w:r>
            <w:r w:rsidRPr="6CA0C5F6" w:rsidR="00311E41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6CA0C5F6" w:rsidR="00161559">
              <w:rPr>
                <w:rFonts w:ascii="Calibri" w:hAnsi="Calibri" w:eastAsia="Calibri" w:cs="Calibri"/>
                <w:sz w:val="24"/>
                <w:szCs w:val="24"/>
              </w:rPr>
              <w:t xml:space="preserve">to </w:t>
            </w:r>
            <w:r w:rsidRPr="6CA0C5F6" w:rsidR="00CF11FB">
              <w:rPr>
                <w:rFonts w:ascii="Calibri" w:hAnsi="Calibri" w:eastAsia="Calibri" w:cs="Calibri"/>
                <w:sz w:val="24"/>
                <w:szCs w:val="24"/>
              </w:rPr>
              <w:t xml:space="preserve">the </w:t>
            </w:r>
            <w:r w:rsidRPr="6CA0C5F6" w:rsidR="00161559">
              <w:rPr>
                <w:rFonts w:ascii="Calibri" w:hAnsi="Calibri" w:eastAsia="Calibri" w:cs="Calibri"/>
                <w:sz w:val="24"/>
                <w:szCs w:val="24"/>
              </w:rPr>
              <w:t>University Promotions Commit</w:t>
            </w:r>
            <w:r w:rsidRPr="6CA0C5F6" w:rsidR="00CF11FB">
              <w:rPr>
                <w:rFonts w:ascii="Calibri" w:hAnsi="Calibri" w:eastAsia="Calibri" w:cs="Calibri"/>
                <w:sz w:val="24"/>
                <w:szCs w:val="24"/>
              </w:rPr>
              <w:t>t</w:t>
            </w:r>
            <w:r w:rsidRPr="6CA0C5F6" w:rsidR="00161559">
              <w:rPr>
                <w:rFonts w:ascii="Calibri" w:hAnsi="Calibri" w:eastAsia="Calibri" w:cs="Calibri"/>
                <w:sz w:val="24"/>
                <w:szCs w:val="24"/>
              </w:rPr>
              <w:t>ee</w:t>
            </w:r>
            <w:r w:rsidRPr="6CA0C5F6" w:rsidR="00CF11FB">
              <w:rPr>
                <w:rFonts w:ascii="Calibri" w:hAnsi="Calibri" w:eastAsia="Calibri" w:cs="Calibri"/>
                <w:sz w:val="24"/>
                <w:szCs w:val="24"/>
              </w:rPr>
              <w:t xml:space="preserve"> for applications </w:t>
            </w:r>
            <w:r w:rsidRPr="6CA0C5F6" w:rsidR="00CF11FB">
              <w:rPr>
                <w:rFonts w:ascii="Calibri" w:hAnsi="Calibri" w:eastAsia="Calibri" w:cs="Calibri"/>
                <w:sz w:val="24"/>
                <w:szCs w:val="24"/>
              </w:rPr>
              <w:t>proceeding</w:t>
            </w:r>
            <w:r w:rsidRPr="6CA0C5F6" w:rsidR="00CF11FB">
              <w:rPr>
                <w:rFonts w:ascii="Calibri" w:hAnsi="Calibri" w:eastAsia="Calibri" w:cs="Calibri"/>
                <w:sz w:val="24"/>
                <w:szCs w:val="24"/>
              </w:rPr>
              <w:t xml:space="preserve"> to Stage 2</w:t>
            </w:r>
            <w:r w:rsidRPr="6CA0C5F6" w:rsidR="733D2CD6">
              <w:rPr>
                <w:rFonts w:ascii="Calibri" w:hAnsi="Calibri" w:eastAsia="Calibri" w:cs="Calibri"/>
                <w:sz w:val="24"/>
                <w:szCs w:val="24"/>
              </w:rPr>
              <w:t>.</w:t>
            </w:r>
            <w:r w:rsidRPr="6CA0C5F6" w:rsidR="00600B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6CA0C5F6" w:rsidR="00600BE7">
              <w:rPr>
                <w:rFonts w:ascii="Calibri" w:hAnsi="Calibri" w:eastAsia="Calibri" w:cs="Calibri"/>
                <w:sz w:val="24"/>
                <w:szCs w:val="24"/>
              </w:rPr>
              <w:t>E</w:t>
            </w:r>
            <w:r w:rsidRPr="6CA0C5F6" w:rsidR="00600BE7">
              <w:rPr>
                <w:rFonts w:ascii="Calibri" w:hAnsi="Calibri" w:eastAsia="Calibri" w:cs="Calibri"/>
                <w:sz w:val="24"/>
                <w:szCs w:val="24"/>
              </w:rPr>
              <w:t>ach faculty can only recommend up to its maximum allocation</w:t>
            </w:r>
            <w:r w:rsidRPr="6CA0C5F6" w:rsidR="00600BE7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Pr="00CA3571" w:rsidR="00600BE7" w:rsidP="552C440E" w:rsidRDefault="00600BE7" w14:paraId="5B5AA772" w14:textId="77332476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CA3571" w:rsidR="00CA3571" w:rsidTr="267C0B90" w14:paraId="5B5AA777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74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3.5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75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Administrative Support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5354F3" w:rsidP="552C440E" w:rsidRDefault="00161559" w14:paraId="5B5AA776" w14:textId="40E1E5EF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61559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Non applicable</w:t>
            </w:r>
          </w:p>
        </w:tc>
      </w:tr>
      <w:tr w:rsidRPr="00CA3571" w:rsidR="00CA3571" w:rsidTr="267C0B90" w14:paraId="5B5AA77A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78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4</w:t>
            </w:r>
          </w:p>
        </w:tc>
        <w:tc>
          <w:tcPr>
            <w:tcW w:w="8036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79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Functions, Decisions &amp; Reporting</w:t>
            </w:r>
          </w:p>
        </w:tc>
      </w:tr>
      <w:tr w:rsidRPr="00CA3571" w:rsidR="00CA3571" w:rsidTr="267C0B90" w14:paraId="5B5AA77E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7B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4.1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7C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Functions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F11FB" w:rsidR="0092087F" w:rsidP="552C440E" w:rsidRDefault="005534CE" w14:paraId="78DB844C" w14:textId="77777777" w14:noSpellErr="1">
            <w:pPr>
              <w:pStyle w:val="BodyText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36138495" w:rsidR="005534CE">
              <w:rPr>
                <w:rFonts w:ascii="Calibri" w:hAnsi="Calibri" w:eastAsia="Calibri" w:cs="Calibri"/>
                <w:sz w:val="24"/>
                <w:szCs w:val="24"/>
              </w:rPr>
              <w:t>To consider and evaluate each application for appointment at Senior Lecturer I (Teaching)</w:t>
            </w:r>
          </w:p>
          <w:p w:rsidR="36138495" w:rsidP="36138495" w:rsidRDefault="36138495" w14:paraId="22340998" w14:textId="153C4DA7">
            <w:pPr>
              <w:pStyle w:val="BodyText"/>
              <w:spacing w:line="240" w:lineRule="auto"/>
              <w:ind w:left="36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CF11FB" w:rsidR="005534CE" w:rsidP="552C440E" w:rsidRDefault="005534CE" w14:paraId="49C8F23F" w14:textId="39EF43A8">
            <w:pPr>
              <w:pStyle w:val="BodyText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267C0B90" w:rsidR="005534CE">
              <w:rPr>
                <w:rFonts w:ascii="Calibri" w:hAnsi="Calibri" w:eastAsia="Calibri" w:cs="Calibri"/>
                <w:sz w:val="24"/>
                <w:szCs w:val="24"/>
              </w:rPr>
              <w:t>To complete an Evaluation and Feedback Form for each applicant</w:t>
            </w:r>
            <w:r w:rsidRPr="267C0B90" w:rsidR="5A42FA1A">
              <w:rPr>
                <w:rFonts w:ascii="Calibri" w:hAnsi="Calibri" w:eastAsia="Calibri" w:cs="Calibri"/>
                <w:sz w:val="24"/>
                <w:szCs w:val="24"/>
              </w:rPr>
              <w:t xml:space="preserve"> together with the relevant Score Form.</w:t>
            </w:r>
          </w:p>
          <w:p w:rsidR="36138495" w:rsidP="36138495" w:rsidRDefault="36138495" w14:paraId="7828E0BE" w14:textId="570A1D97">
            <w:pPr>
              <w:pStyle w:val="BodyText"/>
              <w:spacing w:line="240" w:lineRule="auto"/>
              <w:ind w:left="36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5534CE" w:rsidP="552C440E" w:rsidRDefault="005534CE" w14:paraId="0F0B5558" w14:textId="32AC860E">
            <w:pPr>
              <w:pStyle w:val="BodyText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36138495" w:rsidR="005534CE">
              <w:rPr>
                <w:rFonts w:ascii="Calibri" w:hAnsi="Calibri" w:eastAsia="Calibri" w:cs="Calibri"/>
                <w:sz w:val="24"/>
                <w:szCs w:val="24"/>
              </w:rPr>
              <w:t>To</w:t>
            </w:r>
            <w:r w:rsidRPr="36138495" w:rsidR="00CF11FB">
              <w:rPr>
                <w:rFonts w:ascii="Calibri" w:hAnsi="Calibri" w:eastAsia="Calibri" w:cs="Calibri"/>
                <w:sz w:val="24"/>
                <w:szCs w:val="24"/>
              </w:rPr>
              <w:t xml:space="preserve"> complet</w:t>
            </w:r>
            <w:r w:rsidRPr="36138495" w:rsidR="1CB66E05">
              <w:rPr>
                <w:rFonts w:ascii="Calibri" w:hAnsi="Calibri" w:eastAsia="Calibri" w:cs="Calibri"/>
                <w:sz w:val="24"/>
                <w:szCs w:val="24"/>
              </w:rPr>
              <w:t xml:space="preserve">e and </w:t>
            </w:r>
            <w:r w:rsidRPr="36138495" w:rsidR="1CB66E05">
              <w:rPr>
                <w:rFonts w:ascii="Calibri" w:hAnsi="Calibri" w:eastAsia="Calibri" w:cs="Calibri"/>
                <w:sz w:val="24"/>
                <w:szCs w:val="24"/>
              </w:rPr>
              <w:t>submit</w:t>
            </w:r>
            <w:r w:rsidRPr="36138495" w:rsidR="1CB66E05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36138495" w:rsidR="00CF11FB">
              <w:rPr>
                <w:rFonts w:ascii="Calibri" w:hAnsi="Calibri" w:eastAsia="Calibri" w:cs="Calibri"/>
                <w:sz w:val="24"/>
                <w:szCs w:val="24"/>
              </w:rPr>
              <w:t>a Recommendation</w:t>
            </w:r>
            <w:r w:rsidRPr="36138495" w:rsidR="4492FE28">
              <w:rPr>
                <w:rFonts w:ascii="Calibri" w:hAnsi="Calibri" w:eastAsia="Calibri" w:cs="Calibri"/>
                <w:sz w:val="24"/>
                <w:szCs w:val="24"/>
              </w:rPr>
              <w:t xml:space="preserve"> of Appointment Form</w:t>
            </w:r>
            <w:r w:rsidRPr="36138495" w:rsidR="00CF11FB">
              <w:rPr>
                <w:rFonts w:ascii="Calibri" w:hAnsi="Calibri" w:eastAsia="Calibri" w:cs="Calibri"/>
                <w:sz w:val="24"/>
                <w:szCs w:val="24"/>
              </w:rPr>
              <w:t xml:space="preserve"> to the University Promotions Committee for applications </w:t>
            </w:r>
            <w:r w:rsidRPr="36138495" w:rsidR="00CF11FB">
              <w:rPr>
                <w:rFonts w:ascii="Calibri" w:hAnsi="Calibri" w:eastAsia="Calibri" w:cs="Calibri"/>
                <w:sz w:val="24"/>
                <w:szCs w:val="24"/>
              </w:rPr>
              <w:t>proceeding</w:t>
            </w:r>
            <w:r w:rsidRPr="36138495" w:rsidR="00CF11FB">
              <w:rPr>
                <w:rFonts w:ascii="Calibri" w:hAnsi="Calibri" w:eastAsia="Calibri" w:cs="Calibri"/>
                <w:sz w:val="24"/>
                <w:szCs w:val="24"/>
              </w:rPr>
              <w:t xml:space="preserve"> to Stage 2</w:t>
            </w:r>
            <w:r w:rsidRPr="36138495" w:rsidR="00600BE7">
              <w:rPr>
                <w:rFonts w:ascii="Calibri" w:hAnsi="Calibri" w:eastAsia="Calibri" w:cs="Calibri"/>
                <w:sz w:val="24"/>
                <w:szCs w:val="24"/>
              </w:rPr>
              <w:t>. E</w:t>
            </w:r>
            <w:r w:rsidRPr="36138495" w:rsidR="00600BE7">
              <w:rPr>
                <w:rFonts w:ascii="Calibri" w:hAnsi="Calibri" w:eastAsia="Calibri" w:cs="Calibri"/>
                <w:sz w:val="24"/>
                <w:szCs w:val="24"/>
              </w:rPr>
              <w:t>ach faculty can only recommend up to its maximum allocation</w:t>
            </w:r>
            <w:r w:rsidRPr="36138495" w:rsidR="00600BE7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="36138495" w:rsidP="36138495" w:rsidRDefault="36138495" w14:paraId="721601BC" w14:textId="2B6EC376">
            <w:pPr>
              <w:pStyle w:val="BodyText"/>
              <w:spacing w:line="240" w:lineRule="auto"/>
              <w:ind w:left="360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533EEC" w:rsidP="552C440E" w:rsidRDefault="00533EEC" w14:paraId="7B00DC51" w14:textId="1F7679A1">
            <w:pPr>
              <w:pStyle w:val="BodyText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1C7E060C" w:rsidR="00533EEC">
              <w:rPr>
                <w:rFonts w:ascii="Calibri" w:hAnsi="Calibri" w:eastAsia="Calibri" w:cs="Calibri"/>
                <w:sz w:val="24"/>
                <w:szCs w:val="24"/>
              </w:rPr>
              <w:t>Applications will be assessed on their own merit</w:t>
            </w:r>
            <w:r w:rsidRPr="1C7E060C" w:rsidR="00533EEC">
              <w:rPr>
                <w:rFonts w:ascii="Calibri" w:hAnsi="Calibri" w:eastAsia="Calibri" w:cs="Calibri"/>
                <w:sz w:val="24"/>
                <w:szCs w:val="24"/>
              </w:rPr>
              <w:t xml:space="preserve">.  </w:t>
            </w:r>
            <w:r w:rsidRPr="1C7E060C" w:rsidR="00533EEC">
              <w:rPr>
                <w:rFonts w:ascii="Calibri" w:hAnsi="Calibri" w:eastAsia="Calibri" w:cs="Calibri"/>
                <w:sz w:val="24"/>
                <w:szCs w:val="24"/>
              </w:rPr>
              <w:t>Once this stage has been completed,</w:t>
            </w:r>
            <w:r w:rsidRPr="1C7E060C" w:rsidR="48EDEADB">
              <w:rPr>
                <w:rFonts w:ascii="Calibri" w:hAnsi="Calibri" w:eastAsia="Calibri" w:cs="Calibri"/>
                <w:sz w:val="24"/>
                <w:szCs w:val="24"/>
              </w:rPr>
              <w:t xml:space="preserve"> the</w:t>
            </w:r>
            <w:r w:rsidRPr="1C7E060C" w:rsidR="00533EEC">
              <w:rPr>
                <w:rFonts w:ascii="Calibri" w:hAnsi="Calibri" w:eastAsia="Calibri" w:cs="Calibri"/>
                <w:sz w:val="24"/>
                <w:szCs w:val="24"/>
              </w:rPr>
              <w:t xml:space="preserve"> F</w:t>
            </w:r>
            <w:r w:rsidRPr="1C7E060C" w:rsidR="0D0C8032">
              <w:rPr>
                <w:rFonts w:ascii="Calibri" w:hAnsi="Calibri" w:eastAsia="Calibri" w:cs="Calibri"/>
                <w:sz w:val="24"/>
                <w:szCs w:val="24"/>
              </w:rPr>
              <w:t xml:space="preserve">aculty Evaluation Committee </w:t>
            </w:r>
            <w:r w:rsidRPr="1C7E060C" w:rsidR="00533EEC">
              <w:rPr>
                <w:rFonts w:ascii="Calibri" w:hAnsi="Calibri" w:eastAsia="Calibri" w:cs="Calibri"/>
                <w:sz w:val="24"/>
                <w:szCs w:val="24"/>
              </w:rPr>
              <w:t>will consider</w:t>
            </w:r>
            <w:r w:rsidRPr="1C7E060C" w:rsidR="00A0539D">
              <w:rPr>
                <w:rFonts w:ascii="Calibri" w:hAnsi="Calibri" w:eastAsia="Calibri" w:cs="Calibri"/>
                <w:sz w:val="24"/>
                <w:szCs w:val="24"/>
              </w:rPr>
              <w:t xml:space="preserve"> the</w:t>
            </w:r>
            <w:r w:rsidRPr="1C7E060C" w:rsidR="00533EEC">
              <w:rPr>
                <w:rFonts w:ascii="Calibri" w:hAnsi="Calibri" w:eastAsia="Calibri" w:cs="Calibri"/>
                <w:sz w:val="24"/>
                <w:szCs w:val="24"/>
              </w:rPr>
              <w:t xml:space="preserve"> impact on gender balance</w:t>
            </w:r>
            <w:r w:rsidRPr="1C7E060C" w:rsidR="00533EEC">
              <w:rPr>
                <w:rFonts w:ascii="Calibri" w:hAnsi="Calibri" w:eastAsia="Calibri" w:cs="Calibri"/>
                <w:sz w:val="24"/>
                <w:szCs w:val="24"/>
              </w:rPr>
              <w:t xml:space="preserve">.  </w:t>
            </w:r>
            <w:r w:rsidRPr="1C7E060C" w:rsidR="00533EEC">
              <w:rPr>
                <w:rFonts w:ascii="Calibri" w:hAnsi="Calibri" w:eastAsia="Calibri" w:cs="Calibri"/>
                <w:sz w:val="24"/>
                <w:szCs w:val="24"/>
              </w:rPr>
              <w:t xml:space="preserve">If there is an impact on any faculty, some of the next round of SLIT posts advertised, may be confined in the first </w:t>
            </w:r>
            <w:r w:rsidRPr="1C7E060C" w:rsidR="00A0539D">
              <w:rPr>
                <w:rFonts w:ascii="Calibri" w:hAnsi="Calibri" w:eastAsia="Calibri" w:cs="Calibri"/>
                <w:sz w:val="24"/>
                <w:szCs w:val="24"/>
              </w:rPr>
              <w:t>instanc</w:t>
            </w:r>
            <w:r w:rsidRPr="1C7E060C" w:rsidR="00533EEC">
              <w:rPr>
                <w:rFonts w:ascii="Calibri" w:hAnsi="Calibri" w:eastAsia="Calibri" w:cs="Calibri"/>
                <w:sz w:val="24"/>
                <w:szCs w:val="24"/>
              </w:rPr>
              <w:t>e</w:t>
            </w:r>
            <w:r w:rsidRPr="1C7E060C" w:rsidR="00A0539D">
              <w:rPr>
                <w:rFonts w:ascii="Calibri" w:hAnsi="Calibri" w:eastAsia="Calibri" w:cs="Calibri"/>
                <w:sz w:val="24"/>
                <w:szCs w:val="24"/>
              </w:rPr>
              <w:t xml:space="preserve"> in the relevant Faculty to a particular gender</w:t>
            </w:r>
            <w:r w:rsidRPr="1C7E060C" w:rsidR="00A0539D">
              <w:rPr>
                <w:rFonts w:ascii="Calibri" w:hAnsi="Calibri" w:eastAsia="Calibri" w:cs="Calibri"/>
                <w:sz w:val="24"/>
                <w:szCs w:val="24"/>
              </w:rPr>
              <w:t>.</w:t>
            </w:r>
            <w:r w:rsidRPr="1C7E060C" w:rsidR="009749F5">
              <w:rPr>
                <w:rFonts w:ascii="Calibri" w:hAnsi="Calibri" w:eastAsia="Calibri" w:cs="Calibri"/>
                <w:sz w:val="24"/>
                <w:szCs w:val="24"/>
              </w:rPr>
              <w:t xml:space="preserve">  </w:t>
            </w:r>
            <w:r w:rsidRPr="1C7E060C" w:rsidR="009749F5">
              <w:rPr>
                <w:rFonts w:ascii="Calibri" w:hAnsi="Calibri" w:eastAsia="Calibri" w:cs="Calibri"/>
                <w:sz w:val="24"/>
                <w:szCs w:val="24"/>
              </w:rPr>
              <w:t>Where this applies, the Chair of the F</w:t>
            </w:r>
            <w:r w:rsidRPr="1C7E060C" w:rsidR="029C0367">
              <w:rPr>
                <w:rFonts w:ascii="Calibri" w:hAnsi="Calibri" w:eastAsia="Calibri" w:cs="Calibri"/>
                <w:sz w:val="24"/>
                <w:szCs w:val="24"/>
              </w:rPr>
              <w:t>aculty Executive Committee w</w:t>
            </w:r>
            <w:r w:rsidRPr="1C7E060C" w:rsidR="009749F5">
              <w:rPr>
                <w:rFonts w:ascii="Calibri" w:hAnsi="Calibri" w:eastAsia="Calibri" w:cs="Calibri"/>
                <w:sz w:val="24"/>
                <w:szCs w:val="24"/>
              </w:rPr>
              <w:t>ill</w:t>
            </w:r>
            <w:r w:rsidRPr="1C7E060C" w:rsidR="009749F5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1C7E060C" w:rsidR="7587FEF3">
              <w:rPr>
                <w:rFonts w:ascii="Calibri" w:hAnsi="Calibri" w:eastAsia="Calibri" w:cs="Calibri"/>
                <w:sz w:val="24"/>
                <w:szCs w:val="24"/>
              </w:rPr>
              <w:t>make a recommendation to the University P</w:t>
            </w:r>
            <w:r w:rsidRPr="1C7E060C" w:rsidR="4BB1EA2F">
              <w:rPr>
                <w:rFonts w:ascii="Calibri" w:hAnsi="Calibri" w:eastAsia="Calibri" w:cs="Calibri"/>
                <w:sz w:val="24"/>
                <w:szCs w:val="24"/>
              </w:rPr>
              <w:t>romotions Committee in this regard.</w:t>
            </w:r>
          </w:p>
          <w:p w:rsidRPr="00CA3571" w:rsidR="00600BE7" w:rsidP="552C440E" w:rsidRDefault="00600BE7" w14:paraId="5B5AA77D" w14:textId="0A63B9AF" w14:noSpellErr="1">
            <w:pPr>
              <w:pStyle w:val="BodyText"/>
              <w:spacing w:line="240" w:lineRule="auto"/>
              <w:ind w:left="36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CA3571" w:rsidR="00CA3571" w:rsidTr="267C0B90" w14:paraId="5B5AA782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7F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4.2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80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Making Decisions / Taking Actions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07C6F" w:rsidR="00C74C04" w:rsidP="552C440E" w:rsidRDefault="00161559" w14:paraId="33DCD7AC" w14:textId="12FC00B9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61559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The Faculty Evaluations Committee</w:t>
            </w:r>
            <w:r w:rsidRPr="552C440E" w:rsidR="00E918F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will </w:t>
            </w:r>
            <w:r w:rsidRPr="552C440E" w:rsidR="00E67033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ideally make decisions by consensus</w:t>
            </w:r>
            <w:r w:rsidRPr="552C440E" w:rsidR="00E67033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.  </w:t>
            </w:r>
            <w:r w:rsidRPr="552C440E" w:rsidR="00E67033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Where consensus cannot be reached, the Chairperson will have the deciding </w:t>
            </w:r>
            <w:r w:rsidRPr="552C440E" w:rsidR="00C74C04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say</w:t>
            </w: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.</w:t>
            </w:r>
            <w:r w:rsidRPr="552C440E" w:rsidR="0092087F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552C440E" w:rsidR="0092087F">
              <w:rPr>
                <w:rStyle w:val="Style1"/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Pr="00CA3571" w:rsidR="00C74C04" w:rsidP="552C440E" w:rsidRDefault="00C74C04" w14:paraId="5B5AA781" w14:textId="5E4DB7AE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CA3571" w:rsidR="00CA3571" w:rsidTr="267C0B90" w14:paraId="5B5AA787" w14:textId="77777777">
        <w:trPr>
          <w:trHeight w:val="371"/>
        </w:trPr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83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4.3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84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Reporting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61559" w:rsidR="006669AE" w:rsidP="552C440E" w:rsidRDefault="00161559" w14:paraId="5B5AA786" w14:textId="4AF46686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61559">
              <w:rPr>
                <w:rFonts w:ascii="Calibri" w:hAnsi="Calibri" w:eastAsia="Calibri" w:cs="Calibri"/>
                <w:sz w:val="24"/>
                <w:szCs w:val="24"/>
              </w:rPr>
              <w:t>Non applicable</w:t>
            </w:r>
          </w:p>
        </w:tc>
      </w:tr>
      <w:tr w:rsidRPr="00CA3571" w:rsidR="00CA3571" w:rsidTr="267C0B90" w14:paraId="5B5AA78B" w14:textId="77777777">
        <w:tc>
          <w:tcPr>
            <w:tcW w:w="97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88" w14:textId="77777777" w14:noSpellErr="1">
            <w:pPr>
              <w:pStyle w:val="BodyText"/>
              <w:spacing w:line="240" w:lineRule="auto"/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5</w:t>
            </w:r>
          </w:p>
        </w:tc>
        <w:tc>
          <w:tcPr>
            <w:tcW w:w="295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A3571" w:rsidR="006669AE" w:rsidP="552C440E" w:rsidRDefault="001322FC" w14:paraId="5B5AA789" w14:textId="77777777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1322FC">
              <w:rPr>
                <w:rStyle w:val="Style1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Review</w:t>
            </w:r>
          </w:p>
        </w:tc>
        <w:tc>
          <w:tcPr>
            <w:tcW w:w="5081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F7E34" w:rsidR="006669AE" w:rsidP="552C440E" w:rsidRDefault="00BF7E34" w14:paraId="5B5AA78A" w14:textId="7E7DC5E0" w14:noSpellErr="1">
            <w:pPr>
              <w:pStyle w:val="BodyText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552C440E" w:rsidR="00BF7E34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These Terms of Reference are subject to operational review </w:t>
            </w:r>
            <w:r w:rsidRPr="552C440E" w:rsidR="00BF7E34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initiated</w:t>
            </w:r>
            <w:r w:rsidRPr="552C440E" w:rsidR="00BF7E34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 by a member of </w:t>
            </w:r>
            <w:r w:rsidRPr="552C440E" w:rsidR="005534CE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UET and/or </w:t>
            </w:r>
            <w:r w:rsidRPr="552C440E" w:rsidR="005534CE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 xml:space="preserve">HR.  </w:t>
            </w:r>
            <w:r w:rsidRPr="552C440E" w:rsidR="005534CE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A</w:t>
            </w:r>
            <w:r w:rsidRPr="552C440E" w:rsidR="00BF7E34">
              <w:rPr>
                <w:rStyle w:val="Style1"/>
                <w:rFonts w:ascii="Calibri" w:hAnsi="Calibri" w:eastAsia="Calibri" w:cs="Calibri"/>
                <w:color w:val="auto"/>
                <w:sz w:val="24"/>
                <w:szCs w:val="24"/>
              </w:rPr>
              <w:t>ny amendments must be approved by the President and notified to UET</w:t>
            </w:r>
          </w:p>
        </w:tc>
      </w:tr>
    </w:tbl>
    <w:p w:rsidRPr="00CA3571" w:rsidR="006669AE" w:rsidRDefault="006669AE" w14:paraId="5B5AA78C" w14:textId="77777777">
      <w:pPr>
        <w:pStyle w:val="BodyText"/>
        <w:spacing w:line="240" w:lineRule="auto"/>
        <w:rPr>
          <w:rFonts w:ascii="Calibri" w:hAnsi="Calibri" w:cs="Calibri"/>
          <w:sz w:val="24"/>
          <w:szCs w:val="24"/>
        </w:rPr>
      </w:pPr>
    </w:p>
    <w:p w:rsidRPr="00CA3571" w:rsidR="006669AE" w:rsidRDefault="006669AE" w14:paraId="5B5AA78D" w14:textId="77777777">
      <w:pPr>
        <w:pStyle w:val="BodyText"/>
        <w:spacing w:line="240" w:lineRule="auto"/>
        <w:rPr>
          <w:rFonts w:ascii="Calibri" w:hAnsi="Calibri" w:cs="Calibri"/>
          <w:sz w:val="24"/>
          <w:szCs w:val="24"/>
        </w:rPr>
      </w:pPr>
    </w:p>
    <w:p w:rsidRPr="00CA3571" w:rsidR="006669AE" w:rsidRDefault="006669AE" w14:paraId="5B5AA78E" w14:textId="77777777">
      <w:pPr>
        <w:pStyle w:val="BodyText"/>
        <w:spacing w:line="240" w:lineRule="auto"/>
        <w:rPr>
          <w:rFonts w:ascii="Calibri" w:hAnsi="Calibri" w:cs="Calibri"/>
          <w:sz w:val="24"/>
          <w:szCs w:val="24"/>
        </w:rPr>
      </w:pPr>
    </w:p>
    <w:p w:rsidRPr="00CA3571" w:rsidR="006669AE" w:rsidRDefault="006669AE" w14:paraId="5B5AA78F" w14:textId="77777777">
      <w:pPr>
        <w:pStyle w:val="BodyText"/>
        <w:spacing w:line="240" w:lineRule="auto"/>
        <w:rPr>
          <w:rFonts w:ascii="Calibri" w:hAnsi="Calibri" w:cs="Calibri"/>
          <w:sz w:val="24"/>
          <w:szCs w:val="24"/>
        </w:rPr>
      </w:pPr>
    </w:p>
    <w:p w:rsidRPr="00CA3571" w:rsidR="006669AE" w:rsidRDefault="006669AE" w14:paraId="5B5AA790" w14:textId="77777777">
      <w:pPr>
        <w:pStyle w:val="BodyText"/>
        <w:spacing w:line="240" w:lineRule="auto"/>
        <w:rPr>
          <w:rFonts w:ascii="Calibri" w:hAnsi="Calibri" w:cs="Calibri"/>
          <w:sz w:val="24"/>
          <w:szCs w:val="24"/>
        </w:rPr>
      </w:pPr>
    </w:p>
    <w:p w:rsidRPr="00CA3571" w:rsidR="006669AE" w:rsidRDefault="006669AE" w14:paraId="5B5AA791" w14:textId="77777777">
      <w:pPr>
        <w:pStyle w:val="BodyText"/>
        <w:spacing w:line="240" w:lineRule="auto"/>
        <w:rPr>
          <w:rFonts w:ascii="Calibri" w:hAnsi="Calibri" w:cs="Calibri"/>
          <w:sz w:val="24"/>
          <w:szCs w:val="24"/>
        </w:rPr>
      </w:pPr>
    </w:p>
    <w:p w:rsidRPr="00CA3571" w:rsidR="006669AE" w:rsidRDefault="006669AE" w14:paraId="5B5AA792" w14:textId="77777777">
      <w:pPr>
        <w:pStyle w:val="BodyText"/>
        <w:spacing w:line="240" w:lineRule="auto"/>
        <w:rPr>
          <w:rFonts w:ascii="Calibri" w:hAnsi="Calibri" w:cs="Calibri"/>
          <w:sz w:val="24"/>
          <w:szCs w:val="24"/>
        </w:rPr>
      </w:pPr>
    </w:p>
    <w:p w:rsidR="006669AE" w:rsidRDefault="006669AE" w14:paraId="5B5AA793" w14:textId="77777777"/>
    <w:sectPr w:rsidR="006669AE"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6AB9" w:rsidRDefault="000D6AB9" w14:paraId="469BE7D1" w14:textId="77777777">
      <w:pPr>
        <w:spacing w:after="0"/>
      </w:pPr>
      <w:r>
        <w:separator/>
      </w:r>
    </w:p>
  </w:endnote>
  <w:endnote w:type="continuationSeparator" w:id="0">
    <w:p w:rsidR="000D6AB9" w:rsidRDefault="000D6AB9" w14:paraId="6B79EFA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phet">
    <w:altName w:val="Calibri"/>
    <w:charset w:val="00"/>
    <w:family w:val="auto"/>
    <w:pitch w:val="variable"/>
  </w:font>
  <w:font w:name="Visuelt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6AB9" w:rsidRDefault="000D6AB9" w14:paraId="02F8D0D7" w14:textId="7777777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D6AB9" w:rsidRDefault="000D6AB9" w14:paraId="5B7B7DBA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707C0"/>
    <w:multiLevelType w:val="hybridMultilevel"/>
    <w:tmpl w:val="F15E60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78033E"/>
    <w:multiLevelType w:val="hybridMultilevel"/>
    <w:tmpl w:val="398E69C0"/>
    <w:lvl w:ilvl="0" w:tplc="F764632A">
      <w:start w:val="5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6A1503A"/>
    <w:multiLevelType w:val="multilevel"/>
    <w:tmpl w:val="3010481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49CC49BE"/>
    <w:multiLevelType w:val="hybridMultilevel"/>
    <w:tmpl w:val="C0786A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2E39DC"/>
    <w:multiLevelType w:val="hybridMultilevel"/>
    <w:tmpl w:val="C5D29C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C06CA2"/>
    <w:multiLevelType w:val="hybridMultilevel"/>
    <w:tmpl w:val="D97C0DC2"/>
    <w:lvl w:ilvl="0" w:tplc="F764632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1652272">
    <w:abstractNumId w:val="0"/>
  </w:num>
  <w:num w:numId="2" w16cid:durableId="297416272">
    <w:abstractNumId w:val="2"/>
  </w:num>
  <w:num w:numId="3" w16cid:durableId="1547256952">
    <w:abstractNumId w:val="5"/>
  </w:num>
  <w:num w:numId="4" w16cid:durableId="542013482">
    <w:abstractNumId w:val="1"/>
  </w:num>
  <w:num w:numId="5" w16cid:durableId="243880757">
    <w:abstractNumId w:val="4"/>
  </w:num>
  <w:num w:numId="6" w16cid:durableId="748311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AE"/>
    <w:rsid w:val="00067329"/>
    <w:rsid w:val="0007585B"/>
    <w:rsid w:val="0008357B"/>
    <w:rsid w:val="0008715D"/>
    <w:rsid w:val="000B03E1"/>
    <w:rsid w:val="000D6AB9"/>
    <w:rsid w:val="000E4C42"/>
    <w:rsid w:val="000F3E98"/>
    <w:rsid w:val="000F66F6"/>
    <w:rsid w:val="001322FC"/>
    <w:rsid w:val="00156F1D"/>
    <w:rsid w:val="00161559"/>
    <w:rsid w:val="00165DB9"/>
    <w:rsid w:val="0019242B"/>
    <w:rsid w:val="001C4B08"/>
    <w:rsid w:val="001E6367"/>
    <w:rsid w:val="001F47DE"/>
    <w:rsid w:val="001F6CD9"/>
    <w:rsid w:val="002512D7"/>
    <w:rsid w:val="002762CA"/>
    <w:rsid w:val="002A7D4D"/>
    <w:rsid w:val="0030145D"/>
    <w:rsid w:val="0030669C"/>
    <w:rsid w:val="00311E41"/>
    <w:rsid w:val="0033AE73"/>
    <w:rsid w:val="003563BA"/>
    <w:rsid w:val="00386CA9"/>
    <w:rsid w:val="0039623C"/>
    <w:rsid w:val="003A15FC"/>
    <w:rsid w:val="003D5AC1"/>
    <w:rsid w:val="003D6A3F"/>
    <w:rsid w:val="00404FE6"/>
    <w:rsid w:val="00407C6F"/>
    <w:rsid w:val="00483841"/>
    <w:rsid w:val="004B1019"/>
    <w:rsid w:val="004C76C5"/>
    <w:rsid w:val="00533EEC"/>
    <w:rsid w:val="005354F3"/>
    <w:rsid w:val="00547C27"/>
    <w:rsid w:val="005534CE"/>
    <w:rsid w:val="005802BE"/>
    <w:rsid w:val="005B0DCE"/>
    <w:rsid w:val="005D2211"/>
    <w:rsid w:val="005D6442"/>
    <w:rsid w:val="005D7EFF"/>
    <w:rsid w:val="005E2D70"/>
    <w:rsid w:val="006005E3"/>
    <w:rsid w:val="00600BE7"/>
    <w:rsid w:val="00603520"/>
    <w:rsid w:val="006036BF"/>
    <w:rsid w:val="006037B3"/>
    <w:rsid w:val="00625ACF"/>
    <w:rsid w:val="00630378"/>
    <w:rsid w:val="00641032"/>
    <w:rsid w:val="0065285F"/>
    <w:rsid w:val="006669AE"/>
    <w:rsid w:val="00681069"/>
    <w:rsid w:val="00682D83"/>
    <w:rsid w:val="00710E8A"/>
    <w:rsid w:val="007400DC"/>
    <w:rsid w:val="00771BBD"/>
    <w:rsid w:val="007A3068"/>
    <w:rsid w:val="007A74F6"/>
    <w:rsid w:val="007B1142"/>
    <w:rsid w:val="007C7CB3"/>
    <w:rsid w:val="007F4A7E"/>
    <w:rsid w:val="0083245E"/>
    <w:rsid w:val="00841E42"/>
    <w:rsid w:val="008C1175"/>
    <w:rsid w:val="00913F24"/>
    <w:rsid w:val="0092087F"/>
    <w:rsid w:val="00942F71"/>
    <w:rsid w:val="009749F5"/>
    <w:rsid w:val="009871CB"/>
    <w:rsid w:val="00987D3A"/>
    <w:rsid w:val="00987EF0"/>
    <w:rsid w:val="009962BF"/>
    <w:rsid w:val="009A0094"/>
    <w:rsid w:val="009E475E"/>
    <w:rsid w:val="00A0539D"/>
    <w:rsid w:val="00A153B7"/>
    <w:rsid w:val="00A61495"/>
    <w:rsid w:val="00A76950"/>
    <w:rsid w:val="00A76A5C"/>
    <w:rsid w:val="00AB3630"/>
    <w:rsid w:val="00AF5988"/>
    <w:rsid w:val="00B0654F"/>
    <w:rsid w:val="00B236C5"/>
    <w:rsid w:val="00B4067F"/>
    <w:rsid w:val="00B426E2"/>
    <w:rsid w:val="00B61B29"/>
    <w:rsid w:val="00B643EB"/>
    <w:rsid w:val="00B91692"/>
    <w:rsid w:val="00BF42A4"/>
    <w:rsid w:val="00BF7E34"/>
    <w:rsid w:val="00C32888"/>
    <w:rsid w:val="00C60E50"/>
    <w:rsid w:val="00C634A3"/>
    <w:rsid w:val="00C74C04"/>
    <w:rsid w:val="00C76E83"/>
    <w:rsid w:val="00C87FE2"/>
    <w:rsid w:val="00CA3571"/>
    <w:rsid w:val="00CA5B7C"/>
    <w:rsid w:val="00CF11FB"/>
    <w:rsid w:val="00D35269"/>
    <w:rsid w:val="00D4738F"/>
    <w:rsid w:val="00E116BF"/>
    <w:rsid w:val="00E252C1"/>
    <w:rsid w:val="00E364AB"/>
    <w:rsid w:val="00E554E0"/>
    <w:rsid w:val="00E67033"/>
    <w:rsid w:val="00E75E27"/>
    <w:rsid w:val="00E80E6D"/>
    <w:rsid w:val="00E85DC8"/>
    <w:rsid w:val="00E87A97"/>
    <w:rsid w:val="00E918FF"/>
    <w:rsid w:val="00E91FBA"/>
    <w:rsid w:val="00F5764D"/>
    <w:rsid w:val="00F85FB7"/>
    <w:rsid w:val="00FE345C"/>
    <w:rsid w:val="00FE7BAA"/>
    <w:rsid w:val="011ED881"/>
    <w:rsid w:val="029C0367"/>
    <w:rsid w:val="05C193F7"/>
    <w:rsid w:val="0602C59D"/>
    <w:rsid w:val="08BE7D5C"/>
    <w:rsid w:val="0B3DAF67"/>
    <w:rsid w:val="0B69016F"/>
    <w:rsid w:val="0D0C8032"/>
    <w:rsid w:val="0F42C587"/>
    <w:rsid w:val="14775D17"/>
    <w:rsid w:val="1538BBD6"/>
    <w:rsid w:val="17A4F889"/>
    <w:rsid w:val="19D52F85"/>
    <w:rsid w:val="1C7E060C"/>
    <w:rsid w:val="1CB66E05"/>
    <w:rsid w:val="1E018F4C"/>
    <w:rsid w:val="21DFEC5E"/>
    <w:rsid w:val="267C0B90"/>
    <w:rsid w:val="2A397C85"/>
    <w:rsid w:val="2D43D7BC"/>
    <w:rsid w:val="2EB3316F"/>
    <w:rsid w:val="30F738D9"/>
    <w:rsid w:val="31DD39FB"/>
    <w:rsid w:val="332CDCDF"/>
    <w:rsid w:val="34A5EA1E"/>
    <w:rsid w:val="36138495"/>
    <w:rsid w:val="372A20E5"/>
    <w:rsid w:val="383521EA"/>
    <w:rsid w:val="384A5009"/>
    <w:rsid w:val="38D28E1A"/>
    <w:rsid w:val="3BBCBB58"/>
    <w:rsid w:val="3C626946"/>
    <w:rsid w:val="3CA086D0"/>
    <w:rsid w:val="3CC5D20E"/>
    <w:rsid w:val="4492FE28"/>
    <w:rsid w:val="48EDEADB"/>
    <w:rsid w:val="4BB1EA2F"/>
    <w:rsid w:val="4F618A41"/>
    <w:rsid w:val="51667C0B"/>
    <w:rsid w:val="53467563"/>
    <w:rsid w:val="5401896B"/>
    <w:rsid w:val="5428D0C0"/>
    <w:rsid w:val="54ECFA0B"/>
    <w:rsid w:val="552C440E"/>
    <w:rsid w:val="5725573F"/>
    <w:rsid w:val="5A42FA1A"/>
    <w:rsid w:val="5A48A1B2"/>
    <w:rsid w:val="5D04433C"/>
    <w:rsid w:val="5F600A53"/>
    <w:rsid w:val="62812A83"/>
    <w:rsid w:val="63916632"/>
    <w:rsid w:val="676735A3"/>
    <w:rsid w:val="6A45517E"/>
    <w:rsid w:val="6CA0C5F6"/>
    <w:rsid w:val="6E592F11"/>
    <w:rsid w:val="70FF8EE6"/>
    <w:rsid w:val="71089365"/>
    <w:rsid w:val="733D2CD6"/>
    <w:rsid w:val="74B8FAE0"/>
    <w:rsid w:val="7587FEF3"/>
    <w:rsid w:val="75D1CCAB"/>
    <w:rsid w:val="76107671"/>
    <w:rsid w:val="78C6B9E8"/>
    <w:rsid w:val="7AD857DF"/>
    <w:rsid w:val="7D9827ED"/>
    <w:rsid w:val="7FC7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A734"/>
  <w15:docId w15:val="{9242CFE0-379B-4996-9498-A7F06594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40" w:lineRule="auto"/>
    </w:pPr>
    <w:rPr>
      <w:szCs w:val="24"/>
      <w:lang w:val="en-I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after="0" w:line="276" w:lineRule="auto"/>
    </w:pPr>
    <w:rPr>
      <w:rFonts w:ascii="Arial" w:hAnsi="Arial" w:cs="Arial"/>
      <w:sz w:val="20"/>
      <w:szCs w:val="20"/>
    </w:rPr>
  </w:style>
  <w:style w:type="character" w:styleId="BodyTextChar" w:customStyle="1">
    <w:name w:val="Body Text Char"/>
    <w:basedOn w:val="DefaultParagraphFont"/>
    <w:rPr>
      <w:rFonts w:ascii="Arial" w:hAnsi="Arial" w:cs="Arial"/>
      <w:sz w:val="20"/>
      <w:szCs w:val="20"/>
      <w:lang w:val="en-IE"/>
    </w:rPr>
  </w:style>
  <w:style w:type="paragraph" w:styleId="Heading" w:customStyle="1">
    <w:name w:val="Heading"/>
    <w:basedOn w:val="Heading1"/>
    <w:rPr>
      <w:rFonts w:ascii="Prophet" w:hAnsi="Prophet"/>
      <w:b/>
      <w:color w:val="004C6C"/>
      <w:lang w:val="ga-IE"/>
    </w:rPr>
  </w:style>
  <w:style w:type="character" w:styleId="Style1" w:customStyle="1">
    <w:name w:val="Style1"/>
    <w:basedOn w:val="DefaultParagraphFont"/>
    <w:rPr>
      <w:rFonts w:ascii="Visuelt" w:hAnsi="Visuelt"/>
      <w:b w:val="0"/>
      <w:bCs w:val="0"/>
      <w:i w:val="0"/>
      <w:iCs w:val="0"/>
      <w:color w:val="7F7F7F"/>
      <w:sz w:val="24"/>
      <w:lang w:val="ga-IE"/>
    </w:rPr>
  </w:style>
  <w:style w:type="character" w:styleId="Heading1Char" w:customStyle="1">
    <w:name w:val="Heading 1 Char"/>
    <w:basedOn w:val="DefaultParagraphFont"/>
    <w:rPr>
      <w:rFonts w:ascii="Calibri Light" w:hAnsi="Calibri Light" w:eastAsia="Times New Roman" w:cs="Times New Roman"/>
      <w:color w:val="2F5496"/>
      <w:sz w:val="32"/>
      <w:szCs w:val="32"/>
      <w:lang w:val="en-IE"/>
    </w:rPr>
  </w:style>
  <w:style w:type="paragraph" w:styleId="ListParagraph">
    <w:name w:val="List Paragraph"/>
    <w:basedOn w:val="Normal"/>
    <w:qFormat/>
    <w:rsid w:val="00F57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543FEA224C84DACFE41DC730D114D" ma:contentTypeVersion="4" ma:contentTypeDescription="Create a new document." ma:contentTypeScope="" ma:versionID="d631ef8be34712f77fba5fbac952515c">
  <xsd:schema xmlns:xsd="http://www.w3.org/2001/XMLSchema" xmlns:xs="http://www.w3.org/2001/XMLSchema" xmlns:p="http://schemas.microsoft.com/office/2006/metadata/properties" xmlns:ns2="3a30f8ef-a0e2-40c8-8e10-8a444ef78c9f" targetNamespace="http://schemas.microsoft.com/office/2006/metadata/properties" ma:root="true" ma:fieldsID="a0725261eab7358578016b92598cd5ee" ns2:_="">
    <xsd:import namespace="3a30f8ef-a0e2-40c8-8e10-8a444ef78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f8ef-a0e2-40c8-8e10-8a444ef78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D86FF-1D34-46D8-92D0-EB14630636B6}"/>
</file>

<file path=customXml/itemProps2.xml><?xml version="1.0" encoding="utf-8"?>
<ds:datastoreItem xmlns:ds="http://schemas.openxmlformats.org/officeDocument/2006/customXml" ds:itemID="{C9288658-D913-4019-91A2-C8C560D8CAD0}"/>
</file>

<file path=customXml/itemProps3.xml><?xml version="1.0" encoding="utf-8"?>
<ds:datastoreItem xmlns:ds="http://schemas.openxmlformats.org/officeDocument/2006/customXml" ds:itemID="{FABBB941-475B-4A21-BCB5-B81A4AC964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Aideen Gurrin</dc:creator>
  <dc:description/>
  <lastModifiedBy>Grainne Lynch</lastModifiedBy>
  <revision>11</revision>
  <dcterms:created xsi:type="dcterms:W3CDTF">2024-11-21T12:46:00.0000000Z</dcterms:created>
  <dcterms:modified xsi:type="dcterms:W3CDTF">2025-05-09T16:41:57.8613392Z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0x0101002AF543FEA224C84DACFE41DC730D114D</vt:lpwstr>
  </property>
</Properties>
</file>